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138</w:t>
      </w:r>
    </w:p>
    <w:p>
      <w:r>
        <w:t>Bundesgericht (BGE), 1986-06-24, FR</w:t>
      </w:r>
    </w:p>
    <w:p>
      <w:r>
        <w:rPr>
          <w:b/>
        </w:rPr>
        <w:t xml:space="preserve">Quelle: </w:t>
      </w:r>
      <w:r>
        <w:t>https://mcp.opencaselaw.ch/entscheid/bge_112 II 138</w:t>
      </w:r>
    </w:p>
    <w:p>
      <w:r>
        <w:t>FR: ATF 112 II 138</w:t>
      </w:r>
    </w:p>
    <w:p>
      <w:r>
        <w:t>IT: DTF 112 II 138</w:t>
      </w:r>
    </w:p>
    <w:p>
      <w:pPr>
        <w:pStyle w:val="Heading2"/>
      </w:pPr>
      <w:r>
        <w:t>Regeste</w:t>
      </w:r>
    </w:p>
    <w:p>
      <w:r>
        <w:t>Regeste Art. 41 und 328 Abs. 2 OR. Haftung des Arbeitgebers. Trifft ein Arbeitgeber nicht die erforderlichen Vorsichtsmassnahmen, um zu verhindern, dass eine Hausangestellte durch einen anderen Arbeitnehmer verletzt wird, der mit einer im Haus ausgestellten geladenen Schusswaffe manipuliert, so ist er aus Vertrag und unerlaubter Handlung haftbar (E. 2 und 3). Art. 51 Abs. 1 OR. Unechte Solidarität; Folgen für den Geschädigten. Stehen dem Geschädigten konkurrierende Ansprüche zu, kann er von jedem der Haftenden den Ersatz des ganzen Schadens verlangen, bis er vollständig gedeckt ist (Bestätigung der Rechtsprechung). Kann die Haftung des Beklagten wegen Mitverschuldens eines Dritten beschränkt werden? Frage offengelassen (E. 4).</w:t>
      </w:r>
    </w:p>
    <w:p>
      <w:pPr>
        <w:pStyle w:val="Heading2"/>
      </w:pPr>
      <w:r>
        <w:t>Erwägungen</w:t>
      </w:r>
    </w:p>
    <w:p>
      <w:r>
        <w:rPr>
          <w:b/>
        </w:rPr>
        <w:t>E. 2</w:t>
      </w:r>
    </w:p>
    <w:p>
      <w:r>
        <w:t>a) En droit, la Cour de justice a considéré que D. avait commis un acte illicite, au sens de l' art. 41 CO , pour n'avoir pas pris les mesures de précaution commandées par les circonstances. En revanche, elle n'a pas retenu une responsabilité de l'employeur fondée soit sur l' art. 55 CO , soit sur l' art. 328 al. 2 CO . Excluant l'hypothèse d'une faute concurrente de la demanderesse, la cour cantonale a estimé à 20% la part de responsabilité imputable à D. en comparaison de celle de B., qu'elle a donc jugée manifestement prépondérante. C'est cette quotité du dommage total, calculé sur la base d'un revenu mensuel de 2'000 fr. et d'un taux d'invalidité économique de 100%, qu'elle a allouée à la lésée, avec, en sus, une indemnité pour tort moral de 20'000 fr., réduite dans la même proportion. b) La demanderesse reproche à la cour cantonale d'avoir écarté à tort la responsabilité de D. découlant des art. 55 et 328 al. 2 CO . Elle lui fait également grief d'avoir ignoré le principe de la solidarité en refusant de condamner le défendeur au paiement de l'intégralité du dommage. Enfin, elle soutient que le montant de l'indemnité pour tort moral aurait dû être arrêté à 50'000 fr.</w:t>
      </w:r>
    </w:p>
    <w:p>
      <w:r>
        <w:rPr>
          <w:b/>
        </w:rPr>
        <w:t>E. 3</w:t>
      </w:r>
    </w:p>
    <w:p>
      <w:r>
        <w:t>a) Dans le cas particulier, la responsabilité aquilienne ( art. 41 al. 1 CO ) de D. est assurément engagée, dès lors que l'intimé a créé un état de choses dangereux sans prendre toutes les mesures propres à empêcher un dommage de se produire. Les considérations pertinentes émises par la cour cantonale à ce sujet méritent d'être approuvées. La situation dangereuse tenait à la présence d'une ou de plusieurs armes chargées dans la salle à manger, et la prévisibilité du dommage résultait non seulement de l'absence de consignes nettes de D. à ses deux nouveaux domestiques, mais encore du défaut de mesures de précaution autres que la mise en place du cran de sécurité. Dans de telles conditions, la manipulation des armes par les domestiques n'était de loin pas à exclure, notamment lors de travaux d'époussetage courants; n'était pas non plus imprévisible une manipulation même fautive, dictée par la curiosité, la fascination ou l'intérêt technique. La relation de causalité naturelle et adéquate entre la BGE 112 II 138 S. 142 situation dangereuse et fautive, d'une part, et le dommage, d'autre part, ne peut ainsi pas être niée; elle n'a pas été interrompue par la faute concurrente commise par B., car cette faute, dût-elle être qualifiée de prépondérante, n'avait pas atteint un degré de gravité suffisamment élevé pour reléguer à l'arrière-plan la faute de D. (cf. DESCHENAUX/TERCIER, La responsabilité civile, 2e éd., par. 4, p. 64/65 n. 65 ss et les arrêts cités). b) Les faits constitutifs de la responsabilité délictuelle permettent de retenir également la responsabilité contractuelle de D., fondée sur l' art. 328 al. 2 CO . Les motifs pour lesquels cette responsabilité a été écartée sont dénués de pertinence. En effet, ce sont les mêmes que ceux qui ont conduit la Cour de justice à ne pas admettre la responsabilité de l'employeur, sur la base de l' art. 55 CO , pour les actes commis par B. Or, la responsabilité contractuelle déduite de l' art. 328 al. 2 CO peut être engagée à des conditions et pour des raisons étrangères à celles qui justifient l'application de l' art. 55 CO . Il s'agit d'une responsabilité directe de l'employeur, découlant des propres actes ou omissions de celui-ci, dont l'admission ne dépend pas du point de savoir si un auxiliaire a ou non contribué à la survenance du dommage. L' art. 328 al. 2 CO astreint l'employeur à prendre, pour protéger la vie et la santé du travailleur, les mesures commandées par l'expérience, applicables en l'état de la technique, et adaptées aux conditions de l'exploitation ou du ménage, dans la mesure où les rapports de travail et la nature du travail permettent équitablement de l'exiger de lui ( ATF 110 II 165 consid. 2a). Pour satisfaire à cette obligation, l'employeur doit informer le travailleur des risques inhabituels, que celui-ci ne connaît pas, ainsi que des mesures à prendre pour les éviter, et veiller à l'application scrupuleuse de ces mesures ( ATF 102 II 19 et les arrêts cités). L'employeur doit compter, dans la prévention des accidents, avec ceux que l'on peut prévoir selon le cours ordinaire des choses, eu égard à l'inattention, voire à l'imprudence de l'employé. L'obligation de sécurité que la loi impose à l'employeur comprend ainsi la prévention de tout accident qui n'est pas dû à un comportement imprévisible et constitutif d'une faute grave de la victime ( ATF 95 II 140 ). En l'espèce, il n'apparaît pas que D., comme employeur, ait pris la moindre mesure pour prévenir les dangers que pouvait courir la demanderesse, sa domestique, du fait de la présence d'armes chargées dans ses locaux, soit dans les lieux de travail. Il n'est pas BGE 112 II 138 S. 143 non plus établi qu'il ait informé la demanderesse des mesures ou des précautions à prendre en cas de manipulation des armes par elle-même ou par un tiers. Or, le fait de s'approcher d'une personne manipulant une arme ou de saisir ladite arme à un moment ou à un autre n'avait rien d'imprévisible de la part d'une personne non avertie comme l'était la demanderesse, laquelle, étant donné sa méconnaissance des armes et son ignorance du danger qu'elle courait, n'a du reste commis aucune faute concurrente. Force est donc d'admettre en l'occurrence le concours des responsabilités délictuelle et contractuelle.</w:t>
      </w:r>
    </w:p>
    <w:p>
      <w:r>
        <w:rPr>
          <w:b/>
        </w:rPr>
        <w:t>E. 4</w:t>
      </w:r>
    </w:p>
    <w:p>
      <w:r>
        <w:t>a) Dans le cas particulier, deux personnes ont à répondre du même dommage. Comme elles n'ont pas causé ensemble ce dommage par une faute commune ( art. 50 al. 1 CO ), on ne se trouve pas dans une situation de solidarité parfaite ( ATF 104 II 229 ss, consid. 4a), mais dans celle où deux personnes répondent du même dommage en raison d'actes illicites différents, indépendants les uns des autres, ou plus précisément dans celle où l'une d'elles, B., répond en raison d'un acte illicite et l'autre, D., en raison d'un acte illicite et d'une violation d'un devoir contractuel. Il s'agit donc d'un cas de concours d'actions, soit de solidarité imparfaite. Dans ce type de solidarité, la responsabilité dérive de causes juridiques différentes, tandis qu'en cas de solidarité parfaite elle résulte de la même cause juridique ( ATF 104 II 231 /232). La conséquence la plus importante (et peut-être pratiquement la seule) de la distinction entre ces deux types de solidarité a trait à l'application de la prescription (même arrêt, ibidem). La distinction n'a en revanche pas d'incidence sur l'étendue de la responsabilité des différents débiteurs du lésé. En effet, celui-ci peut rechercher chacun d'eux pour la totalité du dommage aussi longtemps qu'il n'a pas été entièrement désintéressé ( ATF 97 II 343 consid. 3). Le rapport interne entre les coresponsables ne le concerne pas, de sorte qu'il peut choisir la partie adverse à son gré et qu'il lui est loisible de n'actionner qu'un seul des débiteurs responsables ( ATF 93 II 333 consid. 3a, ATF 89 II 123 consid. 5a). La jurisprudence a certes aussi posé que le comportement d'un tiers coresponsable peut, le cas échéant, libérer le responsable attaqué s'il fait apparaître comme inadéquate la relation de causalité entre le comportement du défendeur et le dommage ou si et dans la mesure où il atténue la faute dont répond le défendeur ( ATF 98 II 104 No 14, ATF 97 II 344 ). Mais cette dernière éventualité, BGE 112 II 138 S. 144 permettant de limiter la responsabilité du défendeur en raison de la faute concurrente d'un tiers, est considérée par le Tribunal fédéral lui-même comme théorique, au point qu'on ne connaît pas d'exemple où elle a pu trouver application (cf. ENGEL, Traité des obligations en droit suisse, p. 379). La jurisprudence a du reste précisé clairement qu'une limitation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L'octroi d'un droit de recours dans le rapport interne liant les divers débiteurs tient compte suffisamment de la protection légitime du débiteur actionné. Il est sans doute possible que l'insolvabilité de l'autre débiteur rende vain un recours, mais ce n'est pas un motif qui puisse justifier une limitation de la responsabilité du débiteur recherché; il serait en effet encore plus injuste qu'en lieu et place de l'un des auteurs du dommage, ce soit le lésé qui doive supporter une perte ( ATF 93 II 323 consid. 2e bb et les arrêts cités). L'éventualité théorique évoquée par le Tribunal fédéral ne peut donc viser qu'une situation tout à fait exceptionnelle; il en irait peut-être ainsi dans l'hypothèse où la faute de l'auteur recherché apparaîtrait si peu grave et dans une telle disproportion avec celle du tiers qu'il serait manifestement injuste et choquant de faire supporter au défendeur l'entier du dommage en appliquant à la lettre les rigueurs propres à la solidarité. Il n'y a toutefois pas lieu de rechercher si l'éventualité théorique précitée peut se réaliser en pratique. En effet, même si l'on devait retenir en l'espèce, à l'instar de la cour cantonale, une proportion de 20%-80% entre les fautes respectives de D. et de B., proportion qui paraît d'ailleurs très basse s'agissant de l'employeur, on ne serait en tout cas pas en présence d'une disproportion et d'un écart tels qu'ils pourraient justifier une dérogation au principe. Comme, de surcroît, la faute concurrente commise par B. n'était en tout cas pas de nature à interrompre la relation de causalité adéquate entre le comportement fautif de D. et le dommage subi par la demanderesse, le défendeur doit être reconnu responsable de la totalité dudit dommage en application du principe de la solidarité. Les fautes respectives des deux responsables ne pourront dès lors jouer de rôle que dans la répartition interne du montant alloué à la demanderesse. BGE 112 II 138 S. 145 b) La responsabilité solidaire, pleine et entière du défendeur étant admise, il n'est pas nécessaire d'examiner si c'est à juste titre que la cour cantonale a considéré que l' art. 55 CO n'était pas applicable en l'espèce, du fait que B. n'aurait pas causé le dommage "dans l'accomplissement de son travail".</w:t>
      </w:r>
    </w:p>
    <w:p>
      <w:r>
        <w:rPr>
          <w:b/>
        </w:rPr>
        <w:t>E. 5</w:t>
      </w:r>
    </w:p>
    <w:p>
      <w:r>
        <w:t>a) Les parties ne remettent pas en discussion le calcul du dommage matériel, tel qu'il a été effectué par la cour cantonale. Il ne reste plus dès lors qu'à réformer l'arrêt attaqué en allouant à la demanderesse la totalité du montant du dommage, soit 240'000 fr. pour la perte de gain subie jusqu'au jour du jugement et 447'840 fr. pour la perte consécutive à l'invalidité. Le point de départ des intérêts sera fixé, pour ces postes, aux mêmes dates que celles qui ont été retenues par la Cour de justice. b) Le montant total de l'indemnité pour tort moral, à laquelle a droit la demanderesse, a été fixé à 20'000 fr. Il se révèle insuffisant au regard de la pratique actuelle du Tribunal fédéral en la matière. Compte tenu des lésions subies par la demanderesse et des graves séquelles qu'elles ont laissées, à savoir une cécité de longue durée et de l'ordre de 80%, ainsi qu'une invalidité physique de 90% et une invalidité économique totale, le montant réclamé de 50'000 fr. apparaît justifié et peut être alloué à dame R., dont le recours doit ainsi être entièrement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